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4C108DA" w14:textId="38DA2407" w:rsidR="00BC4238" w:rsidRPr="00735D10"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647FEA">
        <w:rPr>
          <w:rFonts w:asciiTheme="minorHAnsi" w:hAnsiTheme="minorHAnsi" w:cstheme="minorHAnsi"/>
          <w:b/>
          <w:bCs/>
          <w:sz w:val="20"/>
          <w:szCs w:val="20"/>
          <w:lang w:val="de-DE"/>
        </w:rPr>
        <w:t>1. Dezember 2020</w:t>
      </w:r>
    </w:p>
    <w:p w14:paraId="43CA05E4" w14:textId="4C0B9D51" w:rsidR="002E2B93" w:rsidRDefault="002E2B93" w:rsidP="002E2B93">
      <w:pPr>
        <w:spacing w:line="271" w:lineRule="auto"/>
        <w:rPr>
          <w:rFonts w:cs="Arial"/>
          <w:sz w:val="20"/>
          <w:szCs w:val="20"/>
          <w:lang w:val="de-DE"/>
        </w:rPr>
      </w:pPr>
    </w:p>
    <w:p w14:paraId="749F02F7" w14:textId="77777777" w:rsidR="00D80CF9" w:rsidRPr="00647FEA" w:rsidRDefault="00D80CF9" w:rsidP="002E2B93">
      <w:pPr>
        <w:spacing w:line="271" w:lineRule="auto"/>
        <w:rPr>
          <w:rFonts w:cs="Arial"/>
          <w:sz w:val="20"/>
          <w:szCs w:val="20"/>
          <w:lang w:val="de-DE"/>
        </w:rPr>
      </w:pPr>
    </w:p>
    <w:p w14:paraId="7A3D18C9" w14:textId="77777777" w:rsidR="00647FEA" w:rsidRPr="00647FEA" w:rsidRDefault="00647FEA" w:rsidP="00647FEA">
      <w:pPr>
        <w:suppressAutoHyphens/>
        <w:autoSpaceDN w:val="0"/>
        <w:spacing w:after="160" w:line="256" w:lineRule="auto"/>
        <w:textAlignment w:val="baseline"/>
        <w:rPr>
          <w:rFonts w:eastAsia="Calibri" w:cs="Arial"/>
          <w:b/>
          <w:bCs/>
          <w:sz w:val="20"/>
          <w:szCs w:val="20"/>
          <w:lang w:val="de-DE"/>
        </w:rPr>
      </w:pPr>
      <w:r w:rsidRPr="00647FEA">
        <w:rPr>
          <w:rFonts w:eastAsia="Calibri" w:cs="Arial"/>
          <w:b/>
          <w:bCs/>
          <w:sz w:val="20"/>
          <w:szCs w:val="20"/>
          <w:lang w:val="de-DE"/>
        </w:rPr>
        <w:t>BOBST gibt eine neue Organisationsstruktur zur Gestaltung der Zukunft der Verpackungswelt bekannt</w:t>
      </w:r>
    </w:p>
    <w:p w14:paraId="14ECE310"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Vor dem Hintergrund der sich dynamisch weiterentwickelnden Verpackungswelt stellt BOBST seine Unternehmensstruktur neu auf, um seinen Kunden in Zukunft noch besser zur Seite stehen zu können. Die neue, ab dem 1. Januar 2021 wirksame Organisation wird noch kundenorientierter ausgerichtet, leichter erreichbar und agiler hinsichtlich ihrer Innovationskraft sein.</w:t>
      </w:r>
    </w:p>
    <w:p w14:paraId="5ECFA305"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 xml:space="preserve">Die neue, im Juni 2020 vorgestellte </w:t>
      </w:r>
      <w:hyperlink r:id="rId7" w:history="1">
        <w:r w:rsidRPr="00647FEA">
          <w:rPr>
            <w:rFonts w:eastAsia="Calibri" w:cs="Arial"/>
            <w:color w:val="0563C1"/>
            <w:sz w:val="20"/>
            <w:szCs w:val="20"/>
            <w:u w:val="single"/>
            <w:lang w:val="de-DE"/>
          </w:rPr>
          <w:t>Industrievision</w:t>
        </w:r>
      </w:hyperlink>
      <w:r w:rsidRPr="00647FEA">
        <w:rPr>
          <w:rFonts w:eastAsia="Calibri" w:cs="Arial"/>
          <w:sz w:val="20"/>
          <w:szCs w:val="20"/>
          <w:lang w:val="de-DE"/>
        </w:rPr>
        <w:t> von BOBST zielt auf eine tiefgreifende Transformation der Verpackungsindustrie ab. Um die Anforderungen der Markenartikelindustrie, der Druckdienstleister und der Verpackungshersteller abzudecken, sind eine stärkere Vernetzung, Digitalisierung und Automatisierung der Prozesse sowie mehr Nachhaltigkeit erforderlich. Zwei neue Geschäftsbereiche werden das vorantreiben.</w:t>
      </w:r>
    </w:p>
    <w:p w14:paraId="5EADD839" w14:textId="2E4E6864"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 xml:space="preserve">Der </w:t>
      </w:r>
      <w:proofErr w:type="spellStart"/>
      <w:r w:rsidRPr="00647FEA">
        <w:rPr>
          <w:rFonts w:eastAsia="Calibri" w:cs="Arial"/>
          <w:sz w:val="20"/>
          <w:szCs w:val="20"/>
          <w:lang w:val="de-DE"/>
        </w:rPr>
        <w:t>neu geschaffene</w:t>
      </w:r>
      <w:proofErr w:type="spellEnd"/>
      <w:r w:rsidRPr="00647FEA">
        <w:rPr>
          <w:rFonts w:eastAsia="Calibri" w:cs="Arial"/>
          <w:sz w:val="20"/>
          <w:szCs w:val="20"/>
          <w:lang w:val="de-DE"/>
        </w:rPr>
        <w:t xml:space="preserve"> </w:t>
      </w:r>
      <w:r w:rsidRPr="00647FEA">
        <w:rPr>
          <w:rFonts w:eastAsia="Calibri" w:cs="Arial"/>
          <w:b/>
          <w:bCs/>
          <w:sz w:val="20"/>
          <w:szCs w:val="20"/>
          <w:lang w:val="de-DE"/>
        </w:rPr>
        <w:t xml:space="preserve">Geschäftsbereich </w:t>
      </w:r>
      <w:proofErr w:type="spellStart"/>
      <w:r w:rsidRPr="00647FEA">
        <w:rPr>
          <w:rFonts w:eastAsia="Calibri" w:cs="Arial"/>
          <w:b/>
          <w:bCs/>
          <w:sz w:val="20"/>
          <w:szCs w:val="20"/>
          <w:lang w:val="de-DE"/>
        </w:rPr>
        <w:t>Printing</w:t>
      </w:r>
      <w:proofErr w:type="spellEnd"/>
      <w:r w:rsidRPr="00647FEA">
        <w:rPr>
          <w:rFonts w:eastAsia="Calibri" w:cs="Arial"/>
          <w:b/>
          <w:bCs/>
          <w:sz w:val="20"/>
          <w:szCs w:val="20"/>
          <w:lang w:val="de-DE"/>
        </w:rPr>
        <w:t xml:space="preserve"> &amp; </w:t>
      </w:r>
      <w:proofErr w:type="spellStart"/>
      <w:r w:rsidRPr="00647FEA">
        <w:rPr>
          <w:rFonts w:eastAsia="Calibri" w:cs="Arial"/>
          <w:b/>
          <w:bCs/>
          <w:sz w:val="20"/>
          <w:szCs w:val="20"/>
          <w:lang w:val="de-DE"/>
        </w:rPr>
        <w:t>Converting</w:t>
      </w:r>
      <w:proofErr w:type="spellEnd"/>
      <w:r w:rsidRPr="00647FEA">
        <w:rPr>
          <w:rFonts w:eastAsia="Calibri" w:cs="Arial"/>
          <w:b/>
          <w:bCs/>
          <w:sz w:val="20"/>
          <w:szCs w:val="20"/>
          <w:lang w:val="de-DE"/>
        </w:rPr>
        <w:t> </w:t>
      </w:r>
      <w:r w:rsidRPr="00647FEA">
        <w:rPr>
          <w:rFonts w:eastAsia="Calibri" w:cs="Arial"/>
          <w:sz w:val="20"/>
          <w:szCs w:val="20"/>
          <w:lang w:val="de-DE"/>
        </w:rPr>
        <w:t>(bislang Sheet Fed und Web Fed)</w:t>
      </w:r>
      <w:r w:rsidRPr="00647FEA">
        <w:rPr>
          <w:rFonts w:eastAsia="Calibri" w:cs="Arial"/>
          <w:b/>
          <w:bCs/>
          <w:sz w:val="20"/>
          <w:szCs w:val="20"/>
          <w:lang w:val="de-DE"/>
        </w:rPr>
        <w:t> wird von Stephan M</w:t>
      </w:r>
      <w:r w:rsidR="007A6296">
        <w:rPr>
          <w:rFonts w:eastAsia="Calibri" w:cs="Arial"/>
          <w:b/>
          <w:bCs/>
          <w:sz w:val="20"/>
          <w:szCs w:val="20"/>
          <w:lang w:val="de-DE"/>
        </w:rPr>
        <w:t>ä</w:t>
      </w:r>
      <w:r w:rsidRPr="00647FEA">
        <w:rPr>
          <w:rFonts w:eastAsia="Calibri" w:cs="Arial"/>
          <w:b/>
          <w:bCs/>
          <w:sz w:val="20"/>
          <w:szCs w:val="20"/>
          <w:lang w:val="de-DE"/>
        </w:rPr>
        <w:t>rz</w:t>
      </w:r>
      <w:r w:rsidRPr="00647FEA">
        <w:rPr>
          <w:rFonts w:eastAsia="Calibri" w:cs="Arial"/>
          <w:sz w:val="20"/>
          <w:szCs w:val="20"/>
          <w:lang w:val="de-DE"/>
        </w:rPr>
        <w:t> geleitet und Produkte sowie Lösungen entwickeln. Alle Produkte werden auf Basis eines unternehmerischen Denkens entwickelt, das die Anforderungen von Kunden und Branchen gezielter anspricht, Innovationen schneller auf den Markt bringt, die Qualität verbessert und letztlich die Kundenzufriedenheit erhöht.</w:t>
      </w:r>
    </w:p>
    <w:p w14:paraId="4E4CE1A4"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 xml:space="preserve">Der </w:t>
      </w:r>
      <w:r w:rsidRPr="00647FEA">
        <w:rPr>
          <w:rFonts w:eastAsia="Calibri" w:cs="Arial"/>
          <w:b/>
          <w:bCs/>
          <w:sz w:val="20"/>
          <w:szCs w:val="20"/>
          <w:lang w:val="de-DE"/>
        </w:rPr>
        <w:t xml:space="preserve">Geschäftsbereich Services &amp; Performance (bislang Geschäftsbereich Services), geleitet von Julien </w:t>
      </w:r>
      <w:proofErr w:type="spellStart"/>
      <w:r w:rsidRPr="00647FEA">
        <w:rPr>
          <w:rFonts w:eastAsia="Calibri" w:cs="Arial"/>
          <w:b/>
          <w:bCs/>
          <w:sz w:val="20"/>
          <w:szCs w:val="20"/>
          <w:lang w:val="de-DE"/>
        </w:rPr>
        <w:t>Laran</w:t>
      </w:r>
      <w:proofErr w:type="spellEnd"/>
      <w:r w:rsidRPr="00647FEA">
        <w:rPr>
          <w:rFonts w:eastAsia="Calibri" w:cs="Arial"/>
          <w:sz w:val="20"/>
          <w:szCs w:val="20"/>
          <w:lang w:val="de-DE"/>
        </w:rPr>
        <w:t xml:space="preserve">, wird weiterhin Services zur Verfügung stellen, die die Verfügbarkeit von Produktionsprozessen maximieren und die Gesamtleistungsfähigkeit von Werken der Verpackungshersteller erhöhen. Das Internet der Dinge wird es Verpackungsherstellern ermöglichen, faktenbasierte Entscheidungen zu treffen und ihre gesamten Produktionsprozesse zu optimieren. </w:t>
      </w:r>
      <w:bookmarkStart w:id="0" w:name="_Hlk57122771"/>
      <w:r w:rsidRPr="00647FEA">
        <w:rPr>
          <w:rFonts w:eastAsia="Calibri" w:cs="Arial"/>
          <w:sz w:val="20"/>
          <w:szCs w:val="20"/>
          <w:lang w:val="de-DE"/>
        </w:rPr>
        <w:t>BOBST Connect wird bei der Unterstützung der BOBST Kunden eine zentralere Rolle spielen.</w:t>
      </w:r>
    </w:p>
    <w:bookmarkEnd w:id="0"/>
    <w:p w14:paraId="76792FBC"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Diese beiden Geschäftsbereiche werden sich auf eine vereinfachte, agilere und leichter erreichbare Vertriebsorganisation stützen. Sie verfügen beide über identische Vertriebsorganisationen (nach geografischen Regionen und Branchen) und </w:t>
      </w:r>
      <w:proofErr w:type="spellStart"/>
      <w:r w:rsidRPr="00647FEA">
        <w:rPr>
          <w:rFonts w:eastAsia="Calibri" w:cs="Arial"/>
          <w:sz w:val="20"/>
          <w:szCs w:val="20"/>
          <w:lang w:val="de-DE"/>
        </w:rPr>
        <w:t>bedienen</w:t>
      </w:r>
      <w:bookmarkStart w:id="1" w:name="_Hlk57274719"/>
      <w:r w:rsidRPr="00647FEA">
        <w:rPr>
          <w:rFonts w:eastAsia="Calibri" w:cs="Arial"/>
          <w:sz w:val="20"/>
          <w:szCs w:val="20"/>
          <w:lang w:val="de-DE"/>
        </w:rPr>
        <w:t>Kunden</w:t>
      </w:r>
      <w:proofErr w:type="spellEnd"/>
      <w:r w:rsidRPr="00647FEA">
        <w:rPr>
          <w:rFonts w:eastAsia="Calibri" w:cs="Arial"/>
          <w:sz w:val="20"/>
          <w:szCs w:val="20"/>
          <w:lang w:val="de-DE"/>
        </w:rPr>
        <w:t xml:space="preserve">, die Etiketten, flexible Verpackungen, Faltschachteln und Verpackungen aus </w:t>
      </w:r>
      <w:proofErr w:type="spellStart"/>
      <w:r w:rsidRPr="00647FEA">
        <w:rPr>
          <w:rFonts w:eastAsia="Calibri" w:cs="Arial"/>
          <w:sz w:val="20"/>
          <w:szCs w:val="20"/>
          <w:lang w:val="de-DE"/>
        </w:rPr>
        <w:t>Wellpappe</w:t>
      </w:r>
      <w:bookmarkEnd w:id="1"/>
      <w:r w:rsidRPr="00647FEA">
        <w:rPr>
          <w:rFonts w:eastAsia="Calibri" w:cs="Arial"/>
          <w:sz w:val="20"/>
          <w:szCs w:val="20"/>
          <w:lang w:val="de-DE"/>
        </w:rPr>
        <w:t>herstellen</w:t>
      </w:r>
      <w:proofErr w:type="spellEnd"/>
      <w:r w:rsidRPr="00647FEA">
        <w:rPr>
          <w:rFonts w:eastAsia="Calibri" w:cs="Arial"/>
          <w:sz w:val="20"/>
          <w:szCs w:val="20"/>
          <w:lang w:val="de-DE"/>
        </w:rPr>
        <w:t xml:space="preserve">. Weitere Synergien zwischen Maschinen und Service-Dienstleistungen werden neue Geschäftsmodelle ermöglichen. </w:t>
      </w:r>
    </w:p>
    <w:p w14:paraId="340CC5F5" w14:textId="370F9C28"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b/>
          <w:bCs/>
          <w:sz w:val="20"/>
          <w:szCs w:val="20"/>
          <w:lang w:val="de-DE"/>
        </w:rPr>
        <w:t xml:space="preserve">Raphaël </w:t>
      </w:r>
      <w:proofErr w:type="spellStart"/>
      <w:r w:rsidRPr="00647FEA">
        <w:rPr>
          <w:rFonts w:eastAsia="Calibri" w:cs="Arial"/>
          <w:b/>
          <w:bCs/>
          <w:sz w:val="20"/>
          <w:szCs w:val="20"/>
          <w:lang w:val="de-DE"/>
        </w:rPr>
        <w:t>Indermühle</w:t>
      </w:r>
      <w:proofErr w:type="spellEnd"/>
      <w:r w:rsidRPr="00647FEA">
        <w:rPr>
          <w:rFonts w:eastAsia="Calibri" w:cs="Arial"/>
          <w:b/>
          <w:bCs/>
          <w:sz w:val="20"/>
          <w:szCs w:val="20"/>
          <w:lang w:val="de-DE"/>
        </w:rPr>
        <w:t xml:space="preserve"> </w:t>
      </w:r>
      <w:r w:rsidRPr="00647FEA">
        <w:rPr>
          <w:rFonts w:eastAsia="Calibri" w:cs="Arial"/>
          <w:sz w:val="20"/>
          <w:szCs w:val="20"/>
          <w:lang w:val="de-DE"/>
        </w:rPr>
        <w:t>wird die</w:t>
      </w:r>
      <w:r w:rsidRPr="00647FEA">
        <w:rPr>
          <w:rFonts w:eastAsia="Calibri" w:cs="Arial"/>
          <w:b/>
          <w:bCs/>
          <w:sz w:val="20"/>
          <w:szCs w:val="20"/>
          <w:lang w:val="de-DE"/>
        </w:rPr>
        <w:t xml:space="preserve"> Vertriebsorganisation </w:t>
      </w:r>
      <w:proofErr w:type="spellStart"/>
      <w:r w:rsidRPr="00647FEA">
        <w:rPr>
          <w:rFonts w:eastAsia="Calibri" w:cs="Arial"/>
          <w:b/>
          <w:bCs/>
          <w:sz w:val="20"/>
          <w:szCs w:val="20"/>
          <w:lang w:val="de-DE"/>
        </w:rPr>
        <w:t>Printing</w:t>
      </w:r>
      <w:proofErr w:type="spellEnd"/>
      <w:r w:rsidRPr="00647FEA">
        <w:rPr>
          <w:rFonts w:eastAsia="Calibri" w:cs="Arial"/>
          <w:b/>
          <w:bCs/>
          <w:sz w:val="20"/>
          <w:szCs w:val="20"/>
          <w:lang w:val="de-DE"/>
        </w:rPr>
        <w:t xml:space="preserve"> &amp; </w:t>
      </w:r>
      <w:proofErr w:type="spellStart"/>
      <w:r w:rsidRPr="00647FEA">
        <w:rPr>
          <w:rFonts w:eastAsia="Calibri" w:cs="Arial"/>
          <w:b/>
          <w:bCs/>
          <w:sz w:val="20"/>
          <w:szCs w:val="20"/>
          <w:lang w:val="de-DE"/>
        </w:rPr>
        <w:t>Converting</w:t>
      </w:r>
      <w:proofErr w:type="spellEnd"/>
      <w:r w:rsidRPr="00647FEA">
        <w:rPr>
          <w:rFonts w:eastAsia="Calibri" w:cs="Arial"/>
          <w:b/>
          <w:bCs/>
          <w:sz w:val="20"/>
          <w:szCs w:val="20"/>
          <w:lang w:val="de-DE"/>
        </w:rPr>
        <w:t xml:space="preserve"> </w:t>
      </w:r>
      <w:r w:rsidRPr="00647FEA">
        <w:rPr>
          <w:rFonts w:eastAsia="Calibri" w:cs="Arial"/>
          <w:sz w:val="20"/>
          <w:szCs w:val="20"/>
          <w:lang w:val="de-DE"/>
        </w:rPr>
        <w:t>leiten und</w:t>
      </w:r>
      <w:r w:rsidRPr="00647FEA">
        <w:rPr>
          <w:rFonts w:eastAsia="Calibri" w:cs="Arial"/>
          <w:b/>
          <w:bCs/>
          <w:sz w:val="20"/>
          <w:szCs w:val="20"/>
          <w:lang w:val="de-DE"/>
        </w:rPr>
        <w:t xml:space="preserve"> </w:t>
      </w:r>
      <w:bookmarkStart w:id="2" w:name="_Hlk57123327"/>
      <w:r w:rsidRPr="00647FEA">
        <w:rPr>
          <w:rFonts w:eastAsia="Calibri" w:cs="Arial"/>
          <w:b/>
          <w:bCs/>
          <w:sz w:val="20"/>
          <w:szCs w:val="20"/>
          <w:lang w:val="de-DE"/>
        </w:rPr>
        <w:t xml:space="preserve">Christian Falk </w:t>
      </w:r>
      <w:bookmarkEnd w:id="2"/>
      <w:r w:rsidRPr="00647FEA">
        <w:rPr>
          <w:rFonts w:eastAsia="Calibri" w:cs="Arial"/>
          <w:sz w:val="20"/>
          <w:szCs w:val="20"/>
          <w:lang w:val="de-DE"/>
        </w:rPr>
        <w:t xml:space="preserve">die </w:t>
      </w:r>
      <w:r w:rsidRPr="00647FEA">
        <w:rPr>
          <w:rFonts w:eastAsia="Calibri" w:cs="Arial"/>
          <w:b/>
          <w:bCs/>
          <w:sz w:val="20"/>
          <w:szCs w:val="20"/>
          <w:lang w:val="de-DE"/>
        </w:rPr>
        <w:t>Vertriebsorganisation Services &amp; Performance</w:t>
      </w:r>
      <w:r w:rsidRPr="00647FEA">
        <w:rPr>
          <w:rFonts w:eastAsia="Calibri" w:cs="Arial"/>
          <w:sz w:val="20"/>
          <w:szCs w:val="20"/>
          <w:lang w:val="de-DE"/>
        </w:rPr>
        <w:t>. Beide Organisationen werden ab dem 1. Januar 2021 aktiv sein.</w:t>
      </w:r>
    </w:p>
    <w:p w14:paraId="27183F08"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r w:rsidRPr="00647FEA">
        <w:rPr>
          <w:rFonts w:eastAsia="Calibri" w:cs="Arial"/>
          <w:sz w:val="20"/>
          <w:szCs w:val="20"/>
          <w:lang w:val="de-DE"/>
        </w:rPr>
        <w:t xml:space="preserve">Die acht neu strukturierten Regionen und ihre regionalen Geschäftsführer im Überblick: </w:t>
      </w:r>
    </w:p>
    <w:tbl>
      <w:tblPr>
        <w:tblStyle w:val="TableGrid10"/>
        <w:tblW w:w="9634" w:type="dxa"/>
        <w:tblLook w:val="04A0" w:firstRow="1" w:lastRow="0" w:firstColumn="1" w:lastColumn="0" w:noHBand="0" w:noVBand="1"/>
      </w:tblPr>
      <w:tblGrid>
        <w:gridCol w:w="4390"/>
        <w:gridCol w:w="2551"/>
        <w:gridCol w:w="2693"/>
      </w:tblGrid>
      <w:tr w:rsidR="00647FEA" w:rsidRPr="00647FEA" w14:paraId="1BBBD6F6" w14:textId="77777777" w:rsidTr="00D80CF9">
        <w:tc>
          <w:tcPr>
            <w:tcW w:w="4390" w:type="dxa"/>
            <w:shd w:val="clear" w:color="auto" w:fill="D9D9D9"/>
            <w:vAlign w:val="center"/>
          </w:tcPr>
          <w:p w14:paraId="6836E5A1" w14:textId="77777777" w:rsidR="00647FEA" w:rsidRPr="00735D10" w:rsidRDefault="00647FEA" w:rsidP="00647FEA">
            <w:pPr>
              <w:suppressAutoHyphens/>
              <w:spacing w:line="240" w:lineRule="auto"/>
              <w:rPr>
                <w:rFonts w:eastAsia="Calibri" w:cs="Arial"/>
                <w:b/>
                <w:bCs/>
                <w:sz w:val="18"/>
                <w:szCs w:val="18"/>
                <w:lang w:val="de-DE"/>
              </w:rPr>
            </w:pPr>
            <w:r w:rsidRPr="00735D10">
              <w:rPr>
                <w:rFonts w:eastAsia="Calibri" w:cs="Arial"/>
                <w:b/>
                <w:bCs/>
                <w:sz w:val="18"/>
                <w:szCs w:val="18"/>
                <w:lang w:val="de-DE"/>
              </w:rPr>
              <w:t>Regionen</w:t>
            </w:r>
          </w:p>
        </w:tc>
        <w:tc>
          <w:tcPr>
            <w:tcW w:w="2551" w:type="dxa"/>
            <w:shd w:val="clear" w:color="auto" w:fill="D9D9D9"/>
            <w:vAlign w:val="center"/>
          </w:tcPr>
          <w:p w14:paraId="1D143585" w14:textId="77777777" w:rsidR="00647FEA" w:rsidRPr="00735D10" w:rsidRDefault="00647FEA" w:rsidP="00647FEA">
            <w:pPr>
              <w:suppressAutoHyphens/>
              <w:spacing w:line="240" w:lineRule="auto"/>
              <w:rPr>
                <w:rFonts w:eastAsia="Calibri" w:cs="Arial"/>
                <w:b/>
                <w:bCs/>
                <w:sz w:val="18"/>
                <w:szCs w:val="18"/>
                <w:lang w:val="de-DE"/>
              </w:rPr>
            </w:pPr>
            <w:proofErr w:type="spellStart"/>
            <w:r w:rsidRPr="00735D10">
              <w:rPr>
                <w:rFonts w:eastAsia="Calibri" w:cs="Arial"/>
                <w:b/>
                <w:bCs/>
                <w:sz w:val="18"/>
                <w:szCs w:val="18"/>
                <w:lang w:val="de-DE"/>
              </w:rPr>
              <w:t>Printing</w:t>
            </w:r>
            <w:proofErr w:type="spellEnd"/>
            <w:r w:rsidRPr="00735D10">
              <w:rPr>
                <w:rFonts w:eastAsia="Calibri" w:cs="Arial"/>
                <w:b/>
                <w:bCs/>
                <w:sz w:val="18"/>
                <w:szCs w:val="18"/>
                <w:lang w:val="de-DE"/>
              </w:rPr>
              <w:t xml:space="preserve"> &amp; </w:t>
            </w:r>
            <w:proofErr w:type="spellStart"/>
            <w:r w:rsidRPr="00735D10">
              <w:rPr>
                <w:rFonts w:eastAsia="Calibri" w:cs="Arial"/>
                <w:b/>
                <w:bCs/>
                <w:sz w:val="18"/>
                <w:szCs w:val="18"/>
                <w:lang w:val="de-DE"/>
              </w:rPr>
              <w:t>Converting</w:t>
            </w:r>
            <w:proofErr w:type="spellEnd"/>
          </w:p>
        </w:tc>
        <w:tc>
          <w:tcPr>
            <w:tcW w:w="2693" w:type="dxa"/>
            <w:shd w:val="clear" w:color="auto" w:fill="D9D9D9"/>
            <w:vAlign w:val="center"/>
          </w:tcPr>
          <w:p w14:paraId="2B55F59A" w14:textId="77777777" w:rsidR="00647FEA" w:rsidRPr="00735D10" w:rsidRDefault="00647FEA" w:rsidP="00647FEA">
            <w:pPr>
              <w:suppressAutoHyphens/>
              <w:spacing w:line="240" w:lineRule="auto"/>
              <w:rPr>
                <w:rFonts w:eastAsia="Calibri" w:cs="Arial"/>
                <w:b/>
                <w:bCs/>
                <w:sz w:val="18"/>
                <w:szCs w:val="18"/>
                <w:lang w:val="de-DE"/>
              </w:rPr>
            </w:pPr>
            <w:r w:rsidRPr="00735D10">
              <w:rPr>
                <w:rFonts w:eastAsia="Calibri" w:cs="Arial"/>
                <w:b/>
                <w:bCs/>
                <w:sz w:val="18"/>
                <w:szCs w:val="18"/>
                <w:lang w:val="de-DE"/>
              </w:rPr>
              <w:t>Services &amp; Performance</w:t>
            </w:r>
          </w:p>
        </w:tc>
      </w:tr>
      <w:tr w:rsidR="00647FEA" w:rsidRPr="00647FEA" w14:paraId="3BA9989B" w14:textId="77777777" w:rsidTr="00D80CF9">
        <w:tc>
          <w:tcPr>
            <w:tcW w:w="4390" w:type="dxa"/>
            <w:vAlign w:val="center"/>
          </w:tcPr>
          <w:p w14:paraId="10324FD2"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Nordamerika &amp; Lateinamerika</w:t>
            </w:r>
          </w:p>
        </w:tc>
        <w:tc>
          <w:tcPr>
            <w:tcW w:w="2551" w:type="dxa"/>
            <w:vAlign w:val="center"/>
          </w:tcPr>
          <w:p w14:paraId="752CE475"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Emilio Corti</w:t>
            </w:r>
          </w:p>
        </w:tc>
        <w:tc>
          <w:tcPr>
            <w:tcW w:w="2693" w:type="dxa"/>
            <w:vAlign w:val="center"/>
          </w:tcPr>
          <w:p w14:paraId="56454D0C"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Alex </w:t>
            </w:r>
            <w:proofErr w:type="spellStart"/>
            <w:r w:rsidRPr="00735D10">
              <w:rPr>
                <w:rFonts w:cs="Arial"/>
                <w:sz w:val="18"/>
                <w:szCs w:val="18"/>
                <w:lang w:val="fr-FR" w:eastAsia="fr-FR"/>
              </w:rPr>
              <w:t>Gigon</w:t>
            </w:r>
            <w:proofErr w:type="spellEnd"/>
          </w:p>
        </w:tc>
      </w:tr>
      <w:tr w:rsidR="00647FEA" w:rsidRPr="00647FEA" w14:paraId="1575A3BD" w14:textId="77777777" w:rsidTr="00D80CF9">
        <w:tc>
          <w:tcPr>
            <w:tcW w:w="4390" w:type="dxa"/>
            <w:vAlign w:val="center"/>
          </w:tcPr>
          <w:p w14:paraId="74504494"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Frankreich, Spanien, Portugal, Italien, Griechenland</w:t>
            </w:r>
          </w:p>
        </w:tc>
        <w:tc>
          <w:tcPr>
            <w:tcW w:w="2551" w:type="dxa"/>
            <w:vAlign w:val="center"/>
          </w:tcPr>
          <w:p w14:paraId="4663CC8A"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Carlos Santos </w:t>
            </w:r>
          </w:p>
        </w:tc>
        <w:tc>
          <w:tcPr>
            <w:tcW w:w="2693" w:type="dxa"/>
            <w:vAlign w:val="center"/>
          </w:tcPr>
          <w:p w14:paraId="7DAA9DD3"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Massimiliano </w:t>
            </w:r>
            <w:proofErr w:type="spellStart"/>
            <w:r w:rsidRPr="00735D10">
              <w:rPr>
                <w:rFonts w:cs="Arial"/>
                <w:sz w:val="18"/>
                <w:szCs w:val="18"/>
                <w:lang w:val="fr-FR" w:eastAsia="fr-FR"/>
              </w:rPr>
              <w:t>Manara</w:t>
            </w:r>
            <w:proofErr w:type="spellEnd"/>
          </w:p>
        </w:tc>
      </w:tr>
      <w:tr w:rsidR="00647FEA" w:rsidRPr="00647FEA" w14:paraId="003D3033" w14:textId="77777777" w:rsidTr="00D80CF9">
        <w:tc>
          <w:tcPr>
            <w:tcW w:w="4390" w:type="dxa"/>
            <w:vAlign w:val="center"/>
          </w:tcPr>
          <w:p w14:paraId="5D173558"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Deutschland, Österreich, Schweiz</w:t>
            </w:r>
          </w:p>
        </w:tc>
        <w:tc>
          <w:tcPr>
            <w:tcW w:w="2551" w:type="dxa"/>
            <w:vAlign w:val="center"/>
          </w:tcPr>
          <w:p w14:paraId="5E6646D6"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Pascal </w:t>
            </w:r>
            <w:proofErr w:type="spellStart"/>
            <w:r w:rsidRPr="00735D10">
              <w:rPr>
                <w:rFonts w:cs="Arial"/>
                <w:sz w:val="18"/>
                <w:szCs w:val="18"/>
                <w:lang w:val="fr-FR" w:eastAsia="fr-FR"/>
              </w:rPr>
              <w:t>Perruchoud</w:t>
            </w:r>
            <w:proofErr w:type="spellEnd"/>
          </w:p>
        </w:tc>
        <w:tc>
          <w:tcPr>
            <w:tcW w:w="2693" w:type="dxa"/>
            <w:vAlign w:val="center"/>
          </w:tcPr>
          <w:p w14:paraId="14B85FBA"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Dirk </w:t>
            </w:r>
            <w:proofErr w:type="spellStart"/>
            <w:r w:rsidRPr="00735D10">
              <w:rPr>
                <w:rFonts w:cs="Arial"/>
                <w:sz w:val="18"/>
                <w:szCs w:val="18"/>
                <w:lang w:val="fr-FR" w:eastAsia="fr-FR"/>
              </w:rPr>
              <w:t>Corsten</w:t>
            </w:r>
            <w:proofErr w:type="spellEnd"/>
            <w:r w:rsidRPr="00735D10">
              <w:rPr>
                <w:rFonts w:cs="Arial"/>
                <w:sz w:val="18"/>
                <w:szCs w:val="18"/>
                <w:lang w:val="fr-FR" w:eastAsia="fr-FR"/>
              </w:rPr>
              <w:t xml:space="preserve"> - Didier Mermod</w:t>
            </w:r>
          </w:p>
        </w:tc>
      </w:tr>
      <w:tr w:rsidR="00647FEA" w:rsidRPr="00647FEA" w14:paraId="58FFA571" w14:textId="77777777" w:rsidTr="00D80CF9">
        <w:tc>
          <w:tcPr>
            <w:tcW w:w="4390" w:type="dxa"/>
            <w:vAlign w:val="center"/>
          </w:tcPr>
          <w:p w14:paraId="466ECEE5"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Großbritannien &amp; Irland, Skandinavien, Benelux</w:t>
            </w:r>
          </w:p>
        </w:tc>
        <w:tc>
          <w:tcPr>
            <w:tcW w:w="2551" w:type="dxa"/>
            <w:vAlign w:val="center"/>
          </w:tcPr>
          <w:p w14:paraId="24041424"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Craig Moran</w:t>
            </w:r>
          </w:p>
        </w:tc>
        <w:tc>
          <w:tcPr>
            <w:tcW w:w="2693" w:type="dxa"/>
            <w:vAlign w:val="center"/>
          </w:tcPr>
          <w:p w14:paraId="4B856EFC"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Neil Jones</w:t>
            </w:r>
          </w:p>
        </w:tc>
      </w:tr>
      <w:tr w:rsidR="00647FEA" w:rsidRPr="00647FEA" w14:paraId="40933773" w14:textId="77777777" w:rsidTr="00D80CF9">
        <w:tc>
          <w:tcPr>
            <w:tcW w:w="4390" w:type="dxa"/>
            <w:vAlign w:val="center"/>
          </w:tcPr>
          <w:p w14:paraId="627ACF78"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Russland &amp; Zentraleuropa</w:t>
            </w:r>
          </w:p>
        </w:tc>
        <w:tc>
          <w:tcPr>
            <w:tcW w:w="2551" w:type="dxa"/>
            <w:vAlign w:val="center"/>
          </w:tcPr>
          <w:p w14:paraId="1C760C42" w14:textId="77777777" w:rsidR="00647FEA" w:rsidRPr="00735D10" w:rsidRDefault="00647FEA" w:rsidP="00647FEA">
            <w:pPr>
              <w:suppressAutoHyphens/>
              <w:spacing w:line="240" w:lineRule="auto"/>
              <w:rPr>
                <w:rFonts w:eastAsia="Calibri" w:cs="Arial"/>
                <w:sz w:val="18"/>
                <w:szCs w:val="18"/>
                <w:lang w:val="de-DE"/>
              </w:rPr>
            </w:pPr>
            <w:proofErr w:type="spellStart"/>
            <w:r w:rsidRPr="00735D10">
              <w:rPr>
                <w:rFonts w:cs="Arial"/>
                <w:sz w:val="18"/>
                <w:szCs w:val="18"/>
                <w:lang w:val="fr-FR" w:eastAsia="fr-FR"/>
              </w:rPr>
              <w:t>Libor</w:t>
            </w:r>
            <w:proofErr w:type="spellEnd"/>
            <w:r w:rsidRPr="00735D10">
              <w:rPr>
                <w:rFonts w:cs="Arial"/>
                <w:sz w:val="18"/>
                <w:szCs w:val="18"/>
                <w:lang w:val="fr-FR" w:eastAsia="fr-FR"/>
              </w:rPr>
              <w:t xml:space="preserve"> Panus</w:t>
            </w:r>
          </w:p>
        </w:tc>
        <w:tc>
          <w:tcPr>
            <w:tcW w:w="2693" w:type="dxa"/>
            <w:vAlign w:val="center"/>
          </w:tcPr>
          <w:p w14:paraId="77C0F566"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Robert Jurkiewicz</w:t>
            </w:r>
          </w:p>
        </w:tc>
      </w:tr>
      <w:tr w:rsidR="00647FEA" w:rsidRPr="00647FEA" w14:paraId="350152F7" w14:textId="77777777" w:rsidTr="00D80CF9">
        <w:tc>
          <w:tcPr>
            <w:tcW w:w="4390" w:type="dxa"/>
            <w:vAlign w:val="center"/>
          </w:tcPr>
          <w:p w14:paraId="6AC3181B"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Weiterer Naher Osten, Afrika, Türkei, Iran</w:t>
            </w:r>
          </w:p>
        </w:tc>
        <w:tc>
          <w:tcPr>
            <w:tcW w:w="2551" w:type="dxa"/>
            <w:vAlign w:val="center"/>
          </w:tcPr>
          <w:p w14:paraId="5980C223" w14:textId="77777777" w:rsidR="00647FEA" w:rsidRPr="00735D10" w:rsidRDefault="00647FEA" w:rsidP="00647FEA">
            <w:pPr>
              <w:suppressAutoHyphens/>
              <w:spacing w:line="240" w:lineRule="auto"/>
              <w:rPr>
                <w:rFonts w:eastAsia="Calibri" w:cs="Arial"/>
                <w:sz w:val="18"/>
                <w:szCs w:val="18"/>
                <w:lang w:val="de-DE"/>
              </w:rPr>
            </w:pPr>
            <w:proofErr w:type="spellStart"/>
            <w:r w:rsidRPr="00735D10">
              <w:rPr>
                <w:rFonts w:cs="Arial"/>
                <w:sz w:val="18"/>
                <w:szCs w:val="18"/>
                <w:lang w:val="fr-FR" w:eastAsia="fr-FR"/>
              </w:rPr>
              <w:t>Eric</w:t>
            </w:r>
            <w:proofErr w:type="spellEnd"/>
            <w:r w:rsidRPr="00735D10">
              <w:rPr>
                <w:rFonts w:cs="Arial"/>
                <w:sz w:val="18"/>
                <w:szCs w:val="18"/>
                <w:lang w:val="fr-FR" w:eastAsia="fr-FR"/>
              </w:rPr>
              <w:t xml:space="preserve"> </w:t>
            </w:r>
            <w:proofErr w:type="spellStart"/>
            <w:r w:rsidRPr="00735D10">
              <w:rPr>
                <w:rFonts w:cs="Arial"/>
                <w:sz w:val="18"/>
                <w:szCs w:val="18"/>
                <w:lang w:val="fr-FR" w:eastAsia="fr-FR"/>
              </w:rPr>
              <w:t>Pavone</w:t>
            </w:r>
            <w:proofErr w:type="spellEnd"/>
          </w:p>
        </w:tc>
        <w:tc>
          <w:tcPr>
            <w:tcW w:w="2693" w:type="dxa"/>
            <w:vAlign w:val="center"/>
          </w:tcPr>
          <w:p w14:paraId="3BA49BFF"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Jean Chavanne</w:t>
            </w:r>
          </w:p>
        </w:tc>
      </w:tr>
      <w:tr w:rsidR="00647FEA" w:rsidRPr="00647FEA" w14:paraId="3D30D8AD" w14:textId="77777777" w:rsidTr="00D80CF9">
        <w:tc>
          <w:tcPr>
            <w:tcW w:w="4390" w:type="dxa"/>
            <w:vAlign w:val="center"/>
          </w:tcPr>
          <w:p w14:paraId="0ED89298"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Südostasien, Korea, Japan</w:t>
            </w:r>
          </w:p>
        </w:tc>
        <w:tc>
          <w:tcPr>
            <w:tcW w:w="2551" w:type="dxa"/>
            <w:vAlign w:val="center"/>
          </w:tcPr>
          <w:p w14:paraId="257C81ED"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 xml:space="preserve">Sebastien </w:t>
            </w:r>
            <w:proofErr w:type="spellStart"/>
            <w:r w:rsidRPr="00735D10">
              <w:rPr>
                <w:rFonts w:cs="Arial"/>
                <w:sz w:val="18"/>
                <w:szCs w:val="18"/>
                <w:lang w:val="fr-FR" w:eastAsia="fr-FR"/>
              </w:rPr>
              <w:t>Geffrault</w:t>
            </w:r>
            <w:proofErr w:type="spellEnd"/>
          </w:p>
        </w:tc>
        <w:tc>
          <w:tcPr>
            <w:tcW w:w="2693" w:type="dxa"/>
            <w:vAlign w:val="center"/>
          </w:tcPr>
          <w:p w14:paraId="3491171F" w14:textId="77777777" w:rsidR="00647FEA" w:rsidRPr="00735D10" w:rsidRDefault="00647FEA" w:rsidP="00647FEA">
            <w:pPr>
              <w:suppressAutoHyphens/>
              <w:spacing w:line="240" w:lineRule="auto"/>
              <w:rPr>
                <w:rFonts w:eastAsia="Calibri" w:cs="Arial"/>
                <w:sz w:val="18"/>
                <w:szCs w:val="18"/>
                <w:lang w:val="de-DE"/>
              </w:rPr>
            </w:pPr>
            <w:r w:rsidRPr="00735D10">
              <w:rPr>
                <w:rFonts w:cs="Arial"/>
                <w:sz w:val="18"/>
                <w:szCs w:val="18"/>
                <w:lang w:val="fr-FR" w:eastAsia="fr-FR"/>
              </w:rPr>
              <w:t>Michael Berger</w:t>
            </w:r>
          </w:p>
        </w:tc>
      </w:tr>
      <w:tr w:rsidR="00647FEA" w:rsidRPr="00647FEA" w14:paraId="7F46D7FC" w14:textId="77777777" w:rsidTr="00D80CF9">
        <w:trPr>
          <w:trHeight w:val="75"/>
        </w:trPr>
        <w:tc>
          <w:tcPr>
            <w:tcW w:w="4390" w:type="dxa"/>
            <w:vAlign w:val="center"/>
          </w:tcPr>
          <w:p w14:paraId="15F54B94"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sz w:val="18"/>
                <w:szCs w:val="18"/>
                <w:lang w:val="de-DE"/>
              </w:rPr>
              <w:t>China &amp; Indien</w:t>
            </w:r>
          </w:p>
        </w:tc>
        <w:tc>
          <w:tcPr>
            <w:tcW w:w="2551" w:type="dxa"/>
            <w:vAlign w:val="center"/>
          </w:tcPr>
          <w:p w14:paraId="7E61215D" w14:textId="6D15E80D" w:rsidR="00647FEA" w:rsidRPr="00735D10" w:rsidRDefault="00647FEA" w:rsidP="00647FEA">
            <w:pPr>
              <w:suppressAutoHyphens/>
              <w:spacing w:line="240" w:lineRule="auto"/>
              <w:rPr>
                <w:rFonts w:eastAsia="Calibri" w:cs="Arial"/>
                <w:sz w:val="18"/>
                <w:szCs w:val="18"/>
                <w:lang w:val="de-DE"/>
              </w:rPr>
            </w:pPr>
            <w:r w:rsidRPr="00735D10">
              <w:rPr>
                <w:rFonts w:eastAsia="Calibri" w:cs="Arial"/>
                <w:color w:val="1D2228"/>
                <w:sz w:val="18"/>
                <w:szCs w:val="18"/>
                <w:lang w:val="fr-FR" w:eastAsia="fr-FR"/>
              </w:rPr>
              <w:t>Raph</w:t>
            </w:r>
            <w:r w:rsidR="00D80CF9">
              <w:rPr>
                <w:rFonts w:eastAsia="Calibri" w:cs="Arial"/>
                <w:color w:val="1D2228"/>
                <w:sz w:val="18"/>
                <w:szCs w:val="18"/>
                <w:lang w:val="fr-FR" w:eastAsia="fr-FR"/>
              </w:rPr>
              <w:t>a</w:t>
            </w:r>
            <w:r w:rsidRPr="00735D10">
              <w:rPr>
                <w:rFonts w:eastAsia="Calibri" w:cs="Arial"/>
                <w:color w:val="1D2228"/>
                <w:sz w:val="18"/>
                <w:szCs w:val="18"/>
                <w:lang w:val="fr-FR" w:eastAsia="fr-FR"/>
              </w:rPr>
              <w:t xml:space="preserve">ël </w:t>
            </w:r>
            <w:proofErr w:type="spellStart"/>
            <w:r w:rsidRPr="00735D10">
              <w:rPr>
                <w:rFonts w:eastAsia="Calibri" w:cs="Arial"/>
                <w:color w:val="1D2228"/>
                <w:sz w:val="18"/>
                <w:szCs w:val="18"/>
                <w:lang w:val="fr-FR" w:eastAsia="fr-FR"/>
              </w:rPr>
              <w:t>Indermühle</w:t>
            </w:r>
            <w:proofErr w:type="spellEnd"/>
            <w:r w:rsidRPr="00735D10">
              <w:rPr>
                <w:rFonts w:eastAsia="Calibri" w:cs="Arial"/>
                <w:color w:val="1D2228"/>
                <w:sz w:val="18"/>
                <w:szCs w:val="18"/>
                <w:lang w:val="fr-FR" w:eastAsia="fr-FR"/>
              </w:rPr>
              <w:t xml:space="preserve"> -</w:t>
            </w:r>
            <w:r w:rsidRPr="00735D10">
              <w:rPr>
                <w:rFonts w:eastAsia="Calibri" w:cs="Arial"/>
                <w:sz w:val="18"/>
                <w:szCs w:val="18"/>
                <w:lang w:val="de-DE"/>
              </w:rPr>
              <w:t>Interim</w:t>
            </w:r>
          </w:p>
        </w:tc>
        <w:tc>
          <w:tcPr>
            <w:tcW w:w="2693" w:type="dxa"/>
            <w:vAlign w:val="center"/>
          </w:tcPr>
          <w:p w14:paraId="6F49DA41" w14:textId="77777777" w:rsidR="00647FEA" w:rsidRPr="00735D10" w:rsidRDefault="00647FEA" w:rsidP="00647FEA">
            <w:pPr>
              <w:suppressAutoHyphens/>
              <w:spacing w:line="240" w:lineRule="auto"/>
              <w:rPr>
                <w:rFonts w:eastAsia="Calibri" w:cs="Arial"/>
                <w:sz w:val="18"/>
                <w:szCs w:val="18"/>
                <w:lang w:val="de-DE"/>
              </w:rPr>
            </w:pPr>
            <w:r w:rsidRPr="00735D10">
              <w:rPr>
                <w:rFonts w:eastAsia="Calibri" w:cs="Arial"/>
                <w:color w:val="1D2228"/>
                <w:sz w:val="18"/>
                <w:szCs w:val="18"/>
                <w:lang w:val="fr-FR" w:eastAsia="fr-FR"/>
              </w:rPr>
              <w:t xml:space="preserve">Christian Falk - </w:t>
            </w:r>
            <w:r w:rsidRPr="00735D10">
              <w:rPr>
                <w:rFonts w:eastAsia="Calibri" w:cs="Arial"/>
                <w:sz w:val="18"/>
                <w:szCs w:val="18"/>
                <w:lang w:val="de-DE"/>
              </w:rPr>
              <w:t>Interim</w:t>
            </w:r>
          </w:p>
        </w:tc>
      </w:tr>
    </w:tbl>
    <w:p w14:paraId="45876F91" w14:textId="63ACD44D" w:rsidR="002E2B93" w:rsidRDefault="00647FEA" w:rsidP="00647FEA">
      <w:pPr>
        <w:suppressAutoHyphens/>
        <w:autoSpaceDN w:val="0"/>
        <w:spacing w:after="160" w:line="256" w:lineRule="auto"/>
        <w:textAlignment w:val="baseline"/>
        <w:rPr>
          <w:rFonts w:eastAsia="Calibri" w:cs="Arial"/>
          <w:sz w:val="20"/>
          <w:szCs w:val="20"/>
          <w:lang w:val="de-DE"/>
        </w:rPr>
      </w:pPr>
      <w:r>
        <w:rPr>
          <w:rFonts w:eastAsia="Calibri" w:cs="Arial"/>
          <w:sz w:val="20"/>
          <w:szCs w:val="20"/>
          <w:lang w:val="de-DE"/>
        </w:rPr>
        <w:lastRenderedPageBreak/>
        <w:br/>
      </w:r>
      <w:r w:rsidR="00735D10">
        <w:rPr>
          <w:rFonts w:eastAsia="Calibri" w:cs="Arial"/>
          <w:sz w:val="20"/>
          <w:szCs w:val="20"/>
          <w:lang w:val="de-DE"/>
        </w:rPr>
        <w:t>D</w:t>
      </w:r>
      <w:r w:rsidRPr="00647FEA">
        <w:rPr>
          <w:rFonts w:eastAsia="Calibri" w:cs="Arial"/>
          <w:sz w:val="20"/>
          <w:szCs w:val="20"/>
          <w:lang w:val="de-DE"/>
        </w:rPr>
        <w:t xml:space="preserve">as </w:t>
      </w:r>
      <w:bookmarkStart w:id="3" w:name="_Hlk57274834"/>
      <w:r w:rsidRPr="00647FEA">
        <w:rPr>
          <w:rFonts w:eastAsia="Calibri" w:cs="Arial"/>
          <w:sz w:val="20"/>
          <w:szCs w:val="20"/>
          <w:lang w:val="de-DE"/>
        </w:rPr>
        <w:t xml:space="preserve">unternehmerische Denken </w:t>
      </w:r>
      <w:bookmarkEnd w:id="3"/>
      <w:r w:rsidRPr="00647FEA">
        <w:rPr>
          <w:rFonts w:eastAsia="Calibri" w:cs="Arial"/>
          <w:sz w:val="20"/>
          <w:szCs w:val="20"/>
          <w:lang w:val="de-DE"/>
        </w:rPr>
        <w:t xml:space="preserve">in den Geschäftsbereichen und in den weltweit acht geografischen Regionen wird BOBST helfen, die Zukunft der Verpackungswelt zu gestalten. Entscheidungen werden schneller getroffen. Prozesse werden vereinfacht. Die kulturelle Vielfalt wird untermauert, die Kundennähe wird erhöht. Die tiefgreifenden Veränderungen werden engere, auf Vertrauen basierende und interaktive Geschäftsbeziehungen sowie eine nahtlose Digitalisierung ermöglichen. </w:t>
      </w:r>
    </w:p>
    <w:p w14:paraId="2CC60CF3" w14:textId="77777777" w:rsidR="00647FEA" w:rsidRPr="00647FEA" w:rsidRDefault="00647FEA" w:rsidP="00647FEA">
      <w:pPr>
        <w:suppressAutoHyphens/>
        <w:autoSpaceDN w:val="0"/>
        <w:spacing w:after="160" w:line="256" w:lineRule="auto"/>
        <w:textAlignment w:val="baseline"/>
        <w:rPr>
          <w:rFonts w:eastAsia="Calibri" w:cs="Arial"/>
          <w:sz w:val="20"/>
          <w:szCs w:val="20"/>
          <w:lang w:val="de-DE"/>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Pr="002763D2" w:rsidRDefault="002E2B93" w:rsidP="002E2B93">
      <w:pPr>
        <w:autoSpaceDE w:val="0"/>
        <w:autoSpaceDN w:val="0"/>
        <w:adjustRightInd w:val="0"/>
        <w:spacing w:line="271" w:lineRule="auto"/>
        <w:rPr>
          <w:rFonts w:cs="Arial"/>
          <w:b/>
          <w:bCs/>
          <w:szCs w:val="19"/>
          <w:lang w:val="de-CH"/>
        </w:rPr>
      </w:pPr>
      <w:r w:rsidRPr="002763D2">
        <w:rPr>
          <w:rFonts w:cs="Arial"/>
          <w:b/>
          <w:bCs/>
          <w:szCs w:val="19"/>
          <w:lang w:val="de-CH"/>
        </w:rPr>
        <w:t>Ü</w:t>
      </w:r>
      <w:r w:rsidR="00250299" w:rsidRPr="002763D2">
        <w:rPr>
          <w:rFonts w:cs="Arial"/>
          <w:b/>
          <w:bCs/>
          <w:szCs w:val="19"/>
          <w:lang w:val="de-CH"/>
        </w:rPr>
        <w:t>ber BOBST</w:t>
      </w:r>
    </w:p>
    <w:p w14:paraId="4D839B59" w14:textId="77777777" w:rsidR="00BD6465" w:rsidRPr="002763D2" w:rsidRDefault="00BD6465" w:rsidP="002E2B93">
      <w:pPr>
        <w:autoSpaceDE w:val="0"/>
        <w:autoSpaceDN w:val="0"/>
        <w:adjustRightInd w:val="0"/>
        <w:spacing w:line="271" w:lineRule="auto"/>
        <w:rPr>
          <w:rFonts w:cs="Arial"/>
          <w:b/>
          <w:bCs/>
          <w:szCs w:val="19"/>
          <w:lang w:val="de-CH"/>
        </w:rPr>
      </w:pPr>
    </w:p>
    <w:p w14:paraId="03C03B45" w14:textId="77777777" w:rsidR="009F1941" w:rsidRPr="002763D2" w:rsidRDefault="009F1941" w:rsidP="009F1941">
      <w:pPr>
        <w:autoSpaceDE w:val="0"/>
        <w:autoSpaceDN w:val="0"/>
        <w:adjustRightInd w:val="0"/>
        <w:spacing w:line="271" w:lineRule="auto"/>
        <w:rPr>
          <w:rFonts w:cs="Arial"/>
          <w:szCs w:val="19"/>
          <w:lang w:val="de-DE" w:eastAsia="fr-FR"/>
        </w:rPr>
      </w:pPr>
      <w:r w:rsidRPr="002763D2">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2763D2" w:rsidRDefault="009F1941" w:rsidP="009F1941">
      <w:pPr>
        <w:autoSpaceDE w:val="0"/>
        <w:autoSpaceDN w:val="0"/>
        <w:adjustRightInd w:val="0"/>
        <w:spacing w:line="271" w:lineRule="auto"/>
        <w:rPr>
          <w:rFonts w:cs="Arial"/>
          <w:szCs w:val="19"/>
          <w:lang w:val="de-DE" w:eastAsia="fr-FR"/>
        </w:rPr>
      </w:pPr>
    </w:p>
    <w:p w14:paraId="767092AA" w14:textId="44EB994C" w:rsidR="00250299" w:rsidRPr="002763D2" w:rsidRDefault="009F1941" w:rsidP="009F1941">
      <w:pPr>
        <w:autoSpaceDE w:val="0"/>
        <w:autoSpaceDN w:val="0"/>
        <w:adjustRightInd w:val="0"/>
        <w:spacing w:line="271" w:lineRule="auto"/>
        <w:rPr>
          <w:rFonts w:cs="Arial"/>
          <w:szCs w:val="19"/>
          <w:lang w:val="de-DE" w:eastAsia="fr-FR"/>
        </w:rPr>
      </w:pPr>
      <w:r w:rsidRPr="002763D2">
        <w:rPr>
          <w:rFonts w:cs="Arial"/>
          <w:szCs w:val="19"/>
          <w:lang w:val="de-DE" w:eastAsia="fr-FR"/>
        </w:rPr>
        <w:t xml:space="preserve">Das 1890 von Joseph </w:t>
      </w:r>
      <w:proofErr w:type="spellStart"/>
      <w:r w:rsidRPr="002763D2">
        <w:rPr>
          <w:rFonts w:cs="Arial"/>
          <w:szCs w:val="19"/>
          <w:lang w:val="de-DE" w:eastAsia="fr-FR"/>
        </w:rPr>
        <w:t>Bobst</w:t>
      </w:r>
      <w:proofErr w:type="spellEnd"/>
      <w:r w:rsidRPr="002763D2">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1D64DC57" w14:textId="77777777" w:rsidR="00647FEA" w:rsidRPr="002763D2" w:rsidRDefault="00647FEA" w:rsidP="009F1941">
      <w:pPr>
        <w:autoSpaceDE w:val="0"/>
        <w:autoSpaceDN w:val="0"/>
        <w:adjustRightInd w:val="0"/>
        <w:spacing w:line="271" w:lineRule="auto"/>
        <w:rPr>
          <w:rFonts w:cs="Arial"/>
          <w:szCs w:val="19"/>
          <w:lang w:val="de-DE" w:eastAsia="fr-FR"/>
        </w:rPr>
      </w:pPr>
    </w:p>
    <w:p w14:paraId="3551517F" w14:textId="77777777" w:rsidR="00250299" w:rsidRPr="002763D2" w:rsidRDefault="00250299" w:rsidP="002E2B93">
      <w:pPr>
        <w:spacing w:line="271" w:lineRule="auto"/>
        <w:rPr>
          <w:rFonts w:cs="Arial"/>
          <w:b/>
          <w:noProof/>
          <w:szCs w:val="19"/>
          <w:lang w:val="de-DE"/>
        </w:rPr>
      </w:pPr>
      <w:r w:rsidRPr="002763D2">
        <w:rPr>
          <w:rFonts w:cs="Arial"/>
          <w:b/>
          <w:noProof/>
          <w:szCs w:val="19"/>
          <w:lang w:val="de-DE"/>
        </w:rPr>
        <w:t>Weitere Informationen für Redaktionen:</w:t>
      </w:r>
    </w:p>
    <w:p w14:paraId="0BB04085" w14:textId="77777777" w:rsidR="00EB7544" w:rsidRPr="002763D2" w:rsidRDefault="00EB7544" w:rsidP="002E2B93">
      <w:pPr>
        <w:spacing w:line="271" w:lineRule="auto"/>
        <w:rPr>
          <w:rFonts w:cs="Arial"/>
          <w:b/>
          <w:noProof/>
          <w:szCs w:val="19"/>
          <w:lang w:val="de-DE"/>
        </w:rPr>
      </w:pPr>
    </w:p>
    <w:p w14:paraId="03A7D775" w14:textId="77777777" w:rsidR="001E3CEF" w:rsidRPr="002763D2" w:rsidRDefault="001E3CEF" w:rsidP="002E2B93">
      <w:pPr>
        <w:spacing w:line="266" w:lineRule="auto"/>
        <w:rPr>
          <w:rFonts w:cs="Arial"/>
          <w:szCs w:val="19"/>
          <w:lang w:val="de-DE" w:eastAsia="zh-CN"/>
        </w:rPr>
      </w:pPr>
      <w:r w:rsidRPr="002763D2">
        <w:rPr>
          <w:rFonts w:cs="Arial"/>
          <w:szCs w:val="19"/>
          <w:lang w:val="de-DE" w:eastAsia="zh-CN"/>
        </w:rPr>
        <w:t>Gudrun Alex</w:t>
      </w:r>
      <w:r w:rsidRPr="002763D2">
        <w:rPr>
          <w:rFonts w:cs="Arial"/>
          <w:szCs w:val="19"/>
          <w:lang w:val="de-DE" w:eastAsia="zh-CN"/>
        </w:rPr>
        <w:br/>
        <w:t xml:space="preserve">BOBST PR </w:t>
      </w:r>
      <w:proofErr w:type="spellStart"/>
      <w:r w:rsidRPr="002763D2">
        <w:rPr>
          <w:rFonts w:cs="Arial"/>
          <w:szCs w:val="19"/>
          <w:lang w:val="de-DE" w:eastAsia="zh-CN"/>
        </w:rPr>
        <w:t>Representative</w:t>
      </w:r>
      <w:proofErr w:type="spellEnd"/>
    </w:p>
    <w:p w14:paraId="59014C44" w14:textId="77777777" w:rsidR="001E3CEF" w:rsidRPr="002763D2" w:rsidRDefault="001E3CEF" w:rsidP="002E2B93">
      <w:pPr>
        <w:rPr>
          <w:rFonts w:cs="Arial"/>
          <w:szCs w:val="19"/>
          <w:lang w:val="fr-BE" w:eastAsia="de-DE"/>
        </w:rPr>
      </w:pPr>
      <w:r w:rsidRPr="002763D2">
        <w:rPr>
          <w:rFonts w:cs="Arial"/>
          <w:szCs w:val="19"/>
          <w:lang w:val="fr-BE" w:eastAsia="de-DE"/>
        </w:rPr>
        <w:t xml:space="preserve">Tel.: +49 211 58 58 66 66 </w:t>
      </w:r>
    </w:p>
    <w:p w14:paraId="21D79F5A" w14:textId="77777777" w:rsidR="001E3CEF" w:rsidRPr="002763D2" w:rsidRDefault="001E3CEF" w:rsidP="002E2B93">
      <w:pPr>
        <w:rPr>
          <w:rFonts w:cs="Arial"/>
          <w:szCs w:val="19"/>
          <w:lang w:val="fr-BE" w:eastAsia="de-DE"/>
        </w:rPr>
      </w:pPr>
      <w:r w:rsidRPr="002763D2">
        <w:rPr>
          <w:rFonts w:cs="Arial"/>
          <w:szCs w:val="19"/>
          <w:lang w:val="fr-BE" w:eastAsia="de-DE"/>
        </w:rPr>
        <w:t>Mobile: +49 160 48 41 439</w:t>
      </w:r>
    </w:p>
    <w:p w14:paraId="68090095" w14:textId="77777777" w:rsidR="002E2B93" w:rsidRPr="002763D2" w:rsidRDefault="002E2B93" w:rsidP="002E2B93">
      <w:pPr>
        <w:rPr>
          <w:rFonts w:cs="Arial"/>
          <w:szCs w:val="19"/>
          <w:lang w:val="fr-BE" w:eastAsia="de-DE"/>
        </w:rPr>
      </w:pPr>
      <w:r w:rsidRPr="002763D2">
        <w:rPr>
          <w:rFonts w:cs="Arial"/>
          <w:szCs w:val="19"/>
          <w:lang w:val="fr-BE" w:eastAsia="de-DE"/>
        </w:rPr>
        <w:t xml:space="preserve">Email: </w:t>
      </w:r>
      <w:hyperlink r:id="rId8" w:history="1">
        <w:r w:rsidRPr="002763D2">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Pr="002763D2" w:rsidRDefault="001E3CEF" w:rsidP="002E2B93">
      <w:pPr>
        <w:rPr>
          <w:rFonts w:cs="Arial"/>
          <w:szCs w:val="19"/>
          <w:lang w:val="fr-BE" w:eastAsia="de-DE"/>
        </w:rPr>
      </w:pPr>
    </w:p>
    <w:p w14:paraId="27F46FC2" w14:textId="77777777" w:rsidR="002E2B93" w:rsidRPr="002763D2" w:rsidRDefault="002E2B93" w:rsidP="002E2B93">
      <w:pPr>
        <w:spacing w:line="240" w:lineRule="auto"/>
        <w:rPr>
          <w:rFonts w:eastAsia="SimSun" w:cs="Arial"/>
          <w:b/>
          <w:bCs/>
          <w:szCs w:val="19"/>
          <w:lang w:val="en-US" w:eastAsia="zh-CN" w:bidi="th-TH"/>
        </w:rPr>
      </w:pPr>
      <w:r w:rsidRPr="002763D2">
        <w:rPr>
          <w:rFonts w:eastAsia="SimSun" w:cs="Arial"/>
          <w:b/>
          <w:bCs/>
          <w:szCs w:val="19"/>
          <w:lang w:val="en-US" w:eastAsia="zh-CN" w:bidi="th-TH"/>
        </w:rPr>
        <w:t>Follow us:</w:t>
      </w:r>
    </w:p>
    <w:p w14:paraId="677020AB" w14:textId="77777777" w:rsidR="00EB7544" w:rsidRPr="002763D2"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2763D2" w:rsidRDefault="002E2B93" w:rsidP="002E2B93">
      <w:pPr>
        <w:spacing w:line="240" w:lineRule="auto"/>
        <w:rPr>
          <w:rFonts w:asciiTheme="majorHAnsi" w:eastAsia="Microsoft YaHei" w:hAnsiTheme="majorHAnsi" w:cstheme="majorHAnsi"/>
          <w:color w:val="265896"/>
          <w:szCs w:val="19"/>
          <w:u w:val="single"/>
          <w:lang w:eastAsia="zh-CN" w:bidi="th-TH"/>
        </w:rPr>
      </w:pPr>
      <w:r w:rsidRPr="002763D2">
        <w:rPr>
          <w:rFonts w:asciiTheme="majorHAnsi" w:eastAsia="Microsoft YaHei" w:hAnsiTheme="majorHAnsi" w:cstheme="majorHAnsi"/>
          <w:szCs w:val="19"/>
          <w:lang w:val="en-US" w:eastAsia="zh-CN" w:bidi="th-TH"/>
        </w:rPr>
        <w:t xml:space="preserve">Facebook: </w:t>
      </w:r>
      <w:hyperlink r:id="rId9" w:history="1">
        <w:r w:rsidRPr="002763D2">
          <w:rPr>
            <w:rFonts w:asciiTheme="majorHAnsi" w:eastAsia="Microsoft YaHei" w:hAnsiTheme="majorHAnsi" w:cstheme="majorHAnsi"/>
            <w:color w:val="0000FF"/>
            <w:szCs w:val="19"/>
            <w:u w:val="single"/>
            <w:lang w:eastAsia="de-DE"/>
          </w:rPr>
          <w:t>www.bobst.com/facebook</w:t>
        </w:r>
      </w:hyperlink>
      <w:r w:rsidRPr="002763D2">
        <w:rPr>
          <w:rFonts w:asciiTheme="majorHAnsi" w:eastAsia="Microsoft YaHei" w:hAnsiTheme="majorHAnsi" w:cstheme="majorHAnsi"/>
          <w:szCs w:val="19"/>
          <w:lang w:val="en-US" w:eastAsia="zh-CN" w:bidi="th-TH"/>
        </w:rPr>
        <w:t xml:space="preserve"> </w:t>
      </w:r>
      <w:r w:rsidRPr="002763D2">
        <w:rPr>
          <w:rFonts w:asciiTheme="majorHAnsi" w:eastAsia="Microsoft YaHei" w:hAnsiTheme="majorHAnsi" w:cstheme="majorHAnsi"/>
          <w:szCs w:val="19"/>
          <w:lang w:val="en-US" w:eastAsia="zh-CN" w:bidi="th-TH"/>
        </w:rPr>
        <w:br/>
        <w:t xml:space="preserve">LinkedIn: </w:t>
      </w:r>
      <w:hyperlink r:id="rId10" w:history="1">
        <w:r w:rsidRPr="002763D2">
          <w:rPr>
            <w:rFonts w:asciiTheme="majorHAnsi" w:eastAsia="Microsoft YaHei" w:hAnsiTheme="majorHAnsi" w:cstheme="majorHAnsi"/>
            <w:color w:val="0000FF"/>
            <w:szCs w:val="19"/>
            <w:u w:val="single"/>
            <w:lang w:eastAsia="de-DE"/>
          </w:rPr>
          <w:t>www.bobst.com/linkedin</w:t>
        </w:r>
      </w:hyperlink>
      <w:r w:rsidRPr="002763D2">
        <w:rPr>
          <w:rFonts w:asciiTheme="majorHAnsi" w:eastAsia="Microsoft YaHei" w:hAnsiTheme="majorHAnsi" w:cstheme="majorHAnsi"/>
          <w:szCs w:val="19"/>
          <w:lang w:val="en-US" w:eastAsia="zh-CN" w:bidi="th-TH"/>
        </w:rPr>
        <w:t xml:space="preserve"> </w:t>
      </w:r>
      <w:r w:rsidRPr="002763D2">
        <w:rPr>
          <w:rFonts w:asciiTheme="majorHAnsi" w:eastAsia="Microsoft YaHei" w:hAnsiTheme="majorHAnsi" w:cstheme="majorHAnsi"/>
          <w:szCs w:val="19"/>
          <w:lang w:val="en-US" w:eastAsia="zh-CN" w:bidi="th-TH"/>
        </w:rPr>
        <w:br/>
        <w:t xml:space="preserve">Twitter: @BOBSTglobal </w:t>
      </w:r>
      <w:hyperlink r:id="rId11" w:history="1">
        <w:r w:rsidRPr="002763D2">
          <w:rPr>
            <w:rFonts w:asciiTheme="majorHAnsi" w:eastAsia="Microsoft YaHei" w:hAnsiTheme="majorHAnsi" w:cstheme="majorHAnsi"/>
            <w:color w:val="0000FF"/>
            <w:szCs w:val="19"/>
            <w:u w:val="single"/>
            <w:lang w:eastAsia="de-DE"/>
          </w:rPr>
          <w:t>www.bobst.com/twitter</w:t>
        </w:r>
      </w:hyperlink>
      <w:r w:rsidRPr="002763D2">
        <w:rPr>
          <w:rFonts w:asciiTheme="majorHAnsi" w:eastAsia="Microsoft YaHei" w:hAnsiTheme="majorHAnsi" w:cstheme="majorHAnsi"/>
          <w:color w:val="0000FF"/>
          <w:szCs w:val="19"/>
          <w:u w:val="single"/>
          <w:lang w:eastAsia="de-DE"/>
        </w:rPr>
        <w:t xml:space="preserve"> </w:t>
      </w:r>
      <w:r w:rsidRPr="002763D2">
        <w:rPr>
          <w:rFonts w:asciiTheme="majorHAnsi" w:eastAsia="Microsoft YaHei" w:hAnsiTheme="majorHAnsi" w:cstheme="majorHAnsi"/>
          <w:szCs w:val="19"/>
          <w:lang w:val="en-US" w:eastAsia="zh-CN" w:bidi="th-TH"/>
        </w:rPr>
        <w:br/>
        <w:t xml:space="preserve">YouTube: </w:t>
      </w:r>
      <w:hyperlink r:id="rId12" w:history="1">
        <w:r w:rsidRPr="002763D2">
          <w:rPr>
            <w:rFonts w:asciiTheme="majorHAnsi" w:eastAsia="Microsoft YaHei" w:hAnsiTheme="majorHAnsi" w:cstheme="majorHAnsi"/>
            <w:color w:val="0000FF"/>
            <w:szCs w:val="19"/>
            <w:u w:val="single"/>
            <w:lang w:eastAsia="de-DE"/>
          </w:rPr>
          <w:t>www.bobst.com/youtube</w:t>
        </w:r>
      </w:hyperlink>
    </w:p>
    <w:sectPr w:rsidR="0025289D" w:rsidRPr="002763D2"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59BB" w14:textId="77777777" w:rsidR="0086526C" w:rsidRDefault="0086526C" w:rsidP="00BB5BE9">
      <w:pPr>
        <w:spacing w:line="240" w:lineRule="auto"/>
      </w:pPr>
      <w:r>
        <w:separator/>
      </w:r>
    </w:p>
  </w:endnote>
  <w:endnote w:type="continuationSeparator" w:id="0">
    <w:p w14:paraId="310F2879" w14:textId="77777777" w:rsidR="0086526C" w:rsidRDefault="0086526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B27ED" w14:textId="77777777" w:rsidR="0086526C" w:rsidRDefault="0086526C" w:rsidP="00BB5BE9">
      <w:pPr>
        <w:spacing w:line="240" w:lineRule="auto"/>
      </w:pPr>
      <w:r>
        <w:separator/>
      </w:r>
    </w:p>
  </w:footnote>
  <w:footnote w:type="continuationSeparator" w:id="0">
    <w:p w14:paraId="76280E9A" w14:textId="77777777" w:rsidR="0086526C" w:rsidRDefault="0086526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2763D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2763D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A38C1"/>
    <w:rsid w:val="001B2D1A"/>
    <w:rsid w:val="001B2EB8"/>
    <w:rsid w:val="001E3CEF"/>
    <w:rsid w:val="00250299"/>
    <w:rsid w:val="0025289D"/>
    <w:rsid w:val="0027064C"/>
    <w:rsid w:val="002763D2"/>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47FEA"/>
    <w:rsid w:val="006A45F6"/>
    <w:rsid w:val="00735D10"/>
    <w:rsid w:val="007606FB"/>
    <w:rsid w:val="007A6296"/>
    <w:rsid w:val="007B33D1"/>
    <w:rsid w:val="007B3645"/>
    <w:rsid w:val="007F7404"/>
    <w:rsid w:val="007F7957"/>
    <w:rsid w:val="0086526C"/>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BF2263"/>
    <w:rsid w:val="00C20D00"/>
    <w:rsid w:val="00CC7F9D"/>
    <w:rsid w:val="00D13F3A"/>
    <w:rsid w:val="00D80CF9"/>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table" w:customStyle="1" w:styleId="TableGrid10">
    <w:name w:val="Table Grid1"/>
    <w:basedOn w:val="TableNormal"/>
    <w:next w:val="TableGrid"/>
    <w:uiPriority w:val="59"/>
    <w:rsid w:val="00647FEA"/>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esen/about-bobst/who-we-are/vision/"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10</TotalTime>
  <Pages>2</Pages>
  <Words>733</Words>
  <Characters>4182</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2020-11-30T11:23:00Z</dcterms:created>
  <dcterms:modified xsi:type="dcterms:W3CDTF">2020-12-01T11:28:00Z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